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06" w:rsidRPr="00C10906" w:rsidRDefault="00C10906" w:rsidP="00453476">
      <w:pPr>
        <w:spacing w:line="360" w:lineRule="auto"/>
        <w:jc w:val="both"/>
        <w:rPr>
          <w:rFonts w:ascii="Palatino Linotype" w:hAnsi="Palatino Linotype"/>
          <w:b/>
        </w:rPr>
      </w:pPr>
      <w:bookmarkStart w:id="0" w:name="_GoBack"/>
      <w:bookmarkEnd w:id="0"/>
      <w:r w:rsidRPr="00C10906">
        <w:rPr>
          <w:rFonts w:ascii="Palatino Linotype" w:hAnsi="Palatino Linotype"/>
          <w:b/>
        </w:rPr>
        <w:t xml:space="preserve">VOTO PARTICULAR CONCURRENTE QUE FORMULAN LA COMISIONADA PRESIDENTA ZULEMA MARTÍNEZ SÁNCHEZ Y EL COMISIONADO JAVIER MARTÍNEZ CRUZ, EN RELACIÓN CON LA RESOLUCIÓN DICTADA POR EL PLENO DEL INSTITUTO DE TRANSPARENCIA, ACCESO A LA INFORMACIÓN PÚBLICA Y PROTECCIÓN DE DATOS PERSONALES DEL ESTADO DE MÉXICO Y MUNICIPIOS, EN LA VIGÉSIMA PRIMERA SESIÓN ORDINARIA DE FECHA CINCO DE JUNIO DE DOS MIL DIECINUEVE, EN EL RECURSO DE REVISIÓN </w:t>
      </w:r>
      <w:r w:rsidR="00874B32">
        <w:rPr>
          <w:rFonts w:ascii="Palatino Linotype" w:hAnsi="Palatino Linotype" w:cs="Arial"/>
          <w:b/>
          <w:bCs/>
          <w:lang w:eastAsia="es-MX"/>
        </w:rPr>
        <w:t>01799</w:t>
      </w:r>
      <w:r w:rsidRPr="00C10906">
        <w:rPr>
          <w:rFonts w:ascii="Palatino Linotype" w:hAnsi="Palatino Linotype" w:cs="Arial"/>
          <w:b/>
          <w:bCs/>
          <w:lang w:eastAsia="es-MX"/>
        </w:rPr>
        <w:t xml:space="preserve">/INFOEM/IP/RR/2019. </w:t>
      </w:r>
    </w:p>
    <w:p w:rsidR="00C10906" w:rsidRDefault="00C10906" w:rsidP="00453476">
      <w:pPr>
        <w:spacing w:line="360" w:lineRule="auto"/>
        <w:jc w:val="both"/>
        <w:rPr>
          <w:rFonts w:ascii="Palatino Linotype" w:hAnsi="Palatino Linotype"/>
          <w:b/>
        </w:rPr>
      </w:pPr>
    </w:p>
    <w:p w:rsidR="00C10906" w:rsidRDefault="00C10906" w:rsidP="00453476">
      <w:pPr>
        <w:spacing w:line="360" w:lineRule="auto"/>
        <w:jc w:val="both"/>
        <w:rPr>
          <w:rFonts w:ascii="Palatino Linotype" w:hAnsi="Palatino Linotype"/>
          <w:b/>
        </w:rPr>
      </w:pPr>
    </w:p>
    <w:p w:rsidR="00453476" w:rsidRDefault="00453476" w:rsidP="00453476">
      <w:pPr>
        <w:spacing w:line="360" w:lineRule="auto"/>
        <w:jc w:val="both"/>
        <w:rPr>
          <w:rFonts w:ascii="Palatino Linotype" w:hAnsi="Palatino Linotype"/>
        </w:rPr>
      </w:pPr>
      <w:r>
        <w:rPr>
          <w:rFonts w:ascii="Palatino Linotype" w:hAnsi="Palatino Linotype"/>
          <w:b/>
        </w:rPr>
        <w:t xml:space="preserve"> </w:t>
      </w:r>
      <w:r w:rsidRPr="009A256B">
        <w:rPr>
          <w:rFonts w:ascii="Palatino Linotype" w:hAnsi="Palatino Linotype"/>
        </w:rPr>
        <w:t xml:space="preserve">Con fundamento en lo dispuesto por el artículo </w:t>
      </w:r>
      <w:r w:rsidR="00395AF7">
        <w:rPr>
          <w:rFonts w:ascii="Palatino Linotype" w:hAnsi="Palatino Linotype"/>
        </w:rPr>
        <w:t>14</w:t>
      </w:r>
      <w:r w:rsidR="00F7635E">
        <w:rPr>
          <w:rFonts w:ascii="Palatino Linotype" w:hAnsi="Palatino Linotype"/>
        </w:rPr>
        <w:t>,</w:t>
      </w:r>
      <w:r w:rsidR="00395AF7">
        <w:rPr>
          <w:rFonts w:ascii="Palatino Linotype" w:hAnsi="Palatino Linotype"/>
        </w:rPr>
        <w:t xml:space="preserve"> fracción XI</w:t>
      </w:r>
      <w:r w:rsidRPr="009A256B">
        <w:rPr>
          <w:rFonts w:ascii="Palatino Linotype" w:hAnsi="Palatino Linotype"/>
        </w:rPr>
        <w:t xml:space="preserve"> del Reglamento Interior del Instituto de Transparencia, Acceso a la Información Pública y Protección de Datos Personales del </w:t>
      </w:r>
      <w:r w:rsidR="00395AF7">
        <w:rPr>
          <w:rFonts w:ascii="Palatino Linotype" w:hAnsi="Palatino Linotype"/>
        </w:rPr>
        <w:t>Estado de México y Municipios, l</w:t>
      </w:r>
      <w:r w:rsidRPr="009A256B">
        <w:rPr>
          <w:rFonts w:ascii="Palatino Linotype" w:hAnsi="Palatino Linotype"/>
        </w:rPr>
        <w:t>a Comisionada</w:t>
      </w:r>
      <w:r w:rsidR="00F7635E">
        <w:rPr>
          <w:rFonts w:ascii="Palatino Linotype" w:hAnsi="Palatino Linotype"/>
        </w:rPr>
        <w:t xml:space="preserve"> Presidenta</w:t>
      </w:r>
      <w:r w:rsidRPr="009A256B">
        <w:rPr>
          <w:rFonts w:ascii="Palatino Linotype" w:hAnsi="Palatino Linotype"/>
        </w:rPr>
        <w:t xml:space="preserve"> </w:t>
      </w:r>
      <w:r w:rsidR="00395AF7" w:rsidRPr="009A256B">
        <w:rPr>
          <w:rFonts w:ascii="Palatino Linotype" w:hAnsi="Palatino Linotype"/>
        </w:rPr>
        <w:t>Zulema Martínez Sánchez</w:t>
      </w:r>
      <w:r w:rsidR="00395AF7">
        <w:rPr>
          <w:rFonts w:ascii="Palatino Linotype" w:hAnsi="Palatino Linotype"/>
        </w:rPr>
        <w:t xml:space="preserve"> y</w:t>
      </w:r>
      <w:r w:rsidRPr="004E16B5">
        <w:rPr>
          <w:rFonts w:ascii="Palatino Linotype" w:hAnsi="Palatino Linotype"/>
        </w:rPr>
        <w:t xml:space="preserve"> </w:t>
      </w:r>
      <w:r w:rsidR="00C10906">
        <w:rPr>
          <w:rFonts w:ascii="Palatino Linotype" w:hAnsi="Palatino Linotype"/>
        </w:rPr>
        <w:t>el Comisionado</w:t>
      </w:r>
      <w:r w:rsidR="00F7635E">
        <w:rPr>
          <w:rFonts w:ascii="Palatino Linotype" w:hAnsi="Palatino Linotype"/>
        </w:rPr>
        <w:t xml:space="preserve"> </w:t>
      </w:r>
      <w:r w:rsidR="00C10906">
        <w:rPr>
          <w:rFonts w:ascii="Palatino Linotype" w:hAnsi="Palatino Linotype"/>
        </w:rPr>
        <w:t>Javier Martínez Cruz</w:t>
      </w:r>
      <w:r w:rsidR="00395AF7">
        <w:rPr>
          <w:rFonts w:ascii="Palatino Linotype" w:hAnsi="Palatino Linotype"/>
        </w:rPr>
        <w:t>,</w:t>
      </w:r>
      <w:r w:rsidRPr="004E16B5">
        <w:rPr>
          <w:rFonts w:ascii="Palatino Linotype" w:hAnsi="Palatino Linotype"/>
        </w:rPr>
        <w:t xml:space="preserve"> </w:t>
      </w:r>
      <w:r w:rsidRPr="009A256B">
        <w:rPr>
          <w:rFonts w:ascii="Palatino Linotype" w:hAnsi="Palatino Linotype"/>
        </w:rPr>
        <w:t xml:space="preserve">emiten </w:t>
      </w:r>
      <w:r>
        <w:rPr>
          <w:rFonts w:ascii="Palatino Linotype" w:hAnsi="Palatino Linotype"/>
        </w:rPr>
        <w:t>VOTO PARTICULAR CONCURRENTE</w:t>
      </w:r>
      <w:r w:rsidRPr="009A256B">
        <w:rPr>
          <w:rFonts w:ascii="Palatino Linotype" w:hAnsi="Palatino Linotype"/>
        </w:rPr>
        <w:t xml:space="preserve"> respecto a la resolución dictada en el recurso de revisión </w:t>
      </w:r>
      <w:r>
        <w:rPr>
          <w:rFonts w:ascii="Palatino Linotype" w:hAnsi="Palatino Linotype"/>
        </w:rPr>
        <w:t>0</w:t>
      </w:r>
      <w:r w:rsidR="006D4154">
        <w:rPr>
          <w:rFonts w:ascii="Palatino Linotype" w:hAnsi="Palatino Linotype"/>
        </w:rPr>
        <w:t>1799</w:t>
      </w:r>
      <w:r w:rsidRPr="009A256B">
        <w:rPr>
          <w:rFonts w:ascii="Palatino Linotype" w:hAnsi="Palatino Linotype"/>
        </w:rPr>
        <w:t>/INFOEM/IP/RR/201</w:t>
      </w:r>
      <w:r w:rsidR="00C10906">
        <w:rPr>
          <w:rFonts w:ascii="Palatino Linotype" w:hAnsi="Palatino Linotype"/>
        </w:rPr>
        <w:t>9</w:t>
      </w:r>
      <w:r w:rsidRPr="009A256B">
        <w:rPr>
          <w:rFonts w:ascii="Palatino Linotype" w:hAnsi="Palatino Linotype"/>
        </w:rPr>
        <w:t xml:space="preserve">, pronunciada por el Pleno de este Instituto ante el proyecto presentado por </w:t>
      </w:r>
      <w:r w:rsidR="00C10906">
        <w:rPr>
          <w:rFonts w:ascii="Palatino Linotype" w:hAnsi="Palatino Linotype"/>
        </w:rPr>
        <w:t>la</w:t>
      </w:r>
      <w:r w:rsidRPr="009A256B">
        <w:rPr>
          <w:rFonts w:ascii="Palatino Linotype" w:hAnsi="Palatino Linotype"/>
        </w:rPr>
        <w:t xml:space="preserve"> Comisionad</w:t>
      </w:r>
      <w:r w:rsidR="00C10906">
        <w:rPr>
          <w:rFonts w:ascii="Palatino Linotype" w:hAnsi="Palatino Linotype"/>
        </w:rPr>
        <w:t>a</w:t>
      </w:r>
      <w:r w:rsidRPr="009A256B">
        <w:rPr>
          <w:rFonts w:ascii="Palatino Linotype" w:hAnsi="Palatino Linotype"/>
        </w:rPr>
        <w:t xml:space="preserve"> </w:t>
      </w:r>
      <w:r w:rsidR="00C10906">
        <w:rPr>
          <w:rFonts w:ascii="Palatino Linotype" w:hAnsi="Palatino Linotype"/>
        </w:rPr>
        <w:t>Eva Abaid Yapur</w:t>
      </w:r>
      <w:r w:rsidRPr="009A256B">
        <w:rPr>
          <w:rFonts w:ascii="Palatino Linotype" w:hAnsi="Palatino Linotype"/>
        </w:rPr>
        <w:t xml:space="preserve">, </w:t>
      </w:r>
      <w:r>
        <w:rPr>
          <w:rFonts w:ascii="Palatino Linotype" w:hAnsi="Palatino Linotype"/>
        </w:rPr>
        <w:t>voto que es del tenor siguiente</w:t>
      </w:r>
      <w:r w:rsidRPr="009A256B">
        <w:rPr>
          <w:rFonts w:ascii="Palatino Linotype" w:hAnsi="Palatino Linotype"/>
        </w:rPr>
        <w:t>:</w:t>
      </w:r>
    </w:p>
    <w:p w:rsidR="00453476" w:rsidRPr="009A256B" w:rsidRDefault="00453476" w:rsidP="00453476">
      <w:pPr>
        <w:spacing w:line="360" w:lineRule="auto"/>
        <w:jc w:val="both"/>
        <w:rPr>
          <w:rFonts w:ascii="Palatino Linotype" w:hAnsi="Palatino Linotype"/>
        </w:rPr>
      </w:pPr>
    </w:p>
    <w:p w:rsidR="00453476" w:rsidRPr="00A36874" w:rsidRDefault="006D4154" w:rsidP="00453476">
      <w:pPr>
        <w:spacing w:line="360" w:lineRule="auto"/>
        <w:jc w:val="both"/>
        <w:rPr>
          <w:rFonts w:ascii="Palatino Linotype" w:hAnsi="Palatino Linotype"/>
        </w:rPr>
      </w:pPr>
      <w:r>
        <w:rPr>
          <w:rFonts w:ascii="Palatino Linotype" w:hAnsi="Palatino Linotype"/>
        </w:rPr>
        <w:lastRenderedPageBreak/>
        <w:t>Es de destacar que lo</w:t>
      </w:r>
      <w:r w:rsidR="00453476" w:rsidRPr="009A256B">
        <w:rPr>
          <w:rFonts w:ascii="Palatino Linotype" w:hAnsi="Palatino Linotype"/>
        </w:rPr>
        <w:t>s que suscriben compartimos el proyecto sometido ante el Pleno de este Instituto,</w:t>
      </w:r>
      <w:r w:rsidR="00453476">
        <w:rPr>
          <w:rFonts w:ascii="Palatino Linotype" w:hAnsi="Palatino Linotype"/>
        </w:rPr>
        <w:t xml:space="preserve"> </w:t>
      </w:r>
      <w:r w:rsidR="00395AF7">
        <w:rPr>
          <w:rFonts w:ascii="Palatino Linotype" w:hAnsi="Palatino Linotype"/>
        </w:rPr>
        <w:t xml:space="preserve">empero </w:t>
      </w:r>
      <w:r w:rsidR="00A36874">
        <w:rPr>
          <w:rFonts w:ascii="Palatino Linotype" w:hAnsi="Palatino Linotype"/>
        </w:rPr>
        <w:t>resulta necesario el realizar las precisiones siguientes, que conllevan a compartir el sentido del voto.</w:t>
      </w:r>
    </w:p>
    <w:p w:rsidR="00B55DD1" w:rsidRPr="00BC5FC7" w:rsidRDefault="00C10906" w:rsidP="00B55DD1">
      <w:pPr>
        <w:spacing w:line="360" w:lineRule="auto"/>
        <w:jc w:val="both"/>
        <w:rPr>
          <w:rFonts w:ascii="Palatino Linotype" w:hAnsi="Palatino Linotype"/>
        </w:rPr>
      </w:pPr>
      <w:r>
        <w:rPr>
          <w:rFonts w:ascii="Palatino Linotype" w:hAnsi="Palatino Linotype"/>
        </w:rPr>
        <w:t>Los suscritos</w:t>
      </w:r>
      <w:r w:rsidR="00B55DD1">
        <w:rPr>
          <w:rFonts w:ascii="Palatino Linotype" w:hAnsi="Palatino Linotype"/>
        </w:rPr>
        <w:t xml:space="preserve"> no comparte</w:t>
      </w:r>
      <w:r>
        <w:rPr>
          <w:rFonts w:ascii="Palatino Linotype" w:hAnsi="Palatino Linotype"/>
        </w:rPr>
        <w:t>n</w:t>
      </w:r>
      <w:r w:rsidR="00B55DD1" w:rsidRPr="00BC5FC7">
        <w:rPr>
          <w:rFonts w:ascii="Palatino Linotype" w:hAnsi="Palatino Linotype"/>
        </w:rPr>
        <w:t xml:space="preserve"> el desechamiento como sentido de la resolución, ya que la Ley de Transparencia vigente en la entidad 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B55DD1" w:rsidRPr="00BC5FC7" w:rsidRDefault="00B55DD1" w:rsidP="00B55DD1">
      <w:pPr>
        <w:spacing w:line="360" w:lineRule="auto"/>
        <w:jc w:val="both"/>
        <w:rPr>
          <w:rFonts w:ascii="Palatino Linotype" w:hAnsi="Palatino Linotype"/>
        </w:rPr>
      </w:pPr>
    </w:p>
    <w:p w:rsidR="00B55DD1" w:rsidRPr="00C10906" w:rsidRDefault="00B55DD1" w:rsidP="00B55DD1">
      <w:pPr>
        <w:spacing w:line="276" w:lineRule="auto"/>
        <w:ind w:left="851" w:right="1134"/>
        <w:jc w:val="both"/>
        <w:rPr>
          <w:rFonts w:ascii="Palatino Linotype" w:hAnsi="Palatino Linotype" w:cs="Arial"/>
          <w:i/>
        </w:rPr>
      </w:pPr>
      <w:r w:rsidRPr="00C10906">
        <w:rPr>
          <w:rFonts w:ascii="Palatino Linotype" w:hAnsi="Palatino Linotype" w:cs="Arial"/>
          <w:i/>
        </w:rPr>
        <w:t>“Artículo 185. El Instituto resolverá el recurso de revisión conforme a lo siguiente:</w:t>
      </w:r>
    </w:p>
    <w:p w:rsidR="00B55DD1" w:rsidRPr="00BC5FC7" w:rsidRDefault="00B55DD1" w:rsidP="00B55DD1">
      <w:pPr>
        <w:spacing w:line="276" w:lineRule="auto"/>
        <w:ind w:left="851" w:right="1134"/>
        <w:jc w:val="both"/>
        <w:rPr>
          <w:rFonts w:ascii="Palatino Linotype" w:hAnsi="Palatino Linotype"/>
        </w:rPr>
      </w:pPr>
      <w:r w:rsidRPr="00C10906">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C10906">
        <w:rPr>
          <w:rFonts w:ascii="Palatino Linotype" w:hAnsi="Palatino Linotype" w:cs="Arial"/>
          <w:b/>
          <w:i/>
          <w:u w:val="single"/>
        </w:rPr>
        <w:t>quien deberá proceder a su análisis para que decrete su admisión o su desechamiento</w:t>
      </w:r>
      <w:r w:rsidRPr="00C10906">
        <w:rPr>
          <w:rFonts w:ascii="Palatino Linotype" w:hAnsi="Palatino Linotype" w:cs="Arial"/>
          <w:i/>
        </w:rPr>
        <w:t>;”</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 xml:space="preserve">El artículo nos aporta varios momentos procesales, consecutivos,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nunca, el SAIMEX o la presidenta no cuentan </w:t>
      </w:r>
      <w:r w:rsidRPr="00BC5FC7">
        <w:rPr>
          <w:rFonts w:ascii="Palatino Linotype" w:hAnsi="Palatino Linotype"/>
        </w:rPr>
        <w:lastRenderedPageBreak/>
        <w:t>con oportunidad para turnarlo, es decir, son condicionantes de un momento procesal para turnarlo al Comisionado ponente, y trae como consecuencia que aquel proceda a realizar el análisis del recurso para que decrete su admisión o su desechamiento.</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o desechar el recurso de revisión, lo cual puede hacerse mediante una resolución o un acuerdo que deseche o admita el recurso a trámite.</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 xml:space="preserve">Es importante establecer la abismal diferencia entre la interposición de un recurso y el acto procesal de desechar o admitir a trámite el recurso de revisión, es decir, no por el hecho de interponer un recurso de revisión por parte del recurrente, no se entiende que por ese sólo hecho ya debe considerarse </w:t>
      </w:r>
      <w:r w:rsidRPr="00BC5FC7">
        <w:rPr>
          <w:rFonts w:ascii="Palatino Linotype" w:hAnsi="Palatino Linotype"/>
          <w:i/>
        </w:rPr>
        <w:t>de facto</w:t>
      </w:r>
      <w:r w:rsidRPr="00BC5FC7">
        <w:rPr>
          <w:rFonts w:ascii="Palatino Linotype" w:hAnsi="Palatino Linotype"/>
        </w:rPr>
        <w:t xml:space="preserve"> como admitido, claro que no, porque pueden ocurrir elementos o circunstancias que el Comisionado debe analizar </w:t>
      </w:r>
      <w:r w:rsidRPr="00BC5FC7">
        <w:rPr>
          <w:rFonts w:ascii="Palatino Linotype" w:hAnsi="Palatino Linotype"/>
          <w:i/>
        </w:rPr>
        <w:t>a priori</w:t>
      </w:r>
      <w:r w:rsidRPr="00BC5FC7">
        <w:rPr>
          <w:rFonts w:ascii="Palatino Linotype" w:hAnsi="Palatino Linotype"/>
        </w:rPr>
        <w:t>, es decir, previo a su admisión o su desechamiento.</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lastRenderedPageBreak/>
        <w:t>El artículo en cita es muy claro en ese sentido, específica con notorio énfasis, “</w:t>
      </w:r>
      <w:r w:rsidRPr="00BC5FC7">
        <w:rPr>
          <w:rFonts w:ascii="Palatino Linotype" w:hAnsi="Palatino Linotype"/>
          <w:i/>
        </w:rPr>
        <w:t>quien deberá proceder a su análisis para que decrete su admisión o su desechamiento</w:t>
      </w:r>
      <w:r w:rsidRPr="00BC5FC7">
        <w:rPr>
          <w:rFonts w:ascii="Palatino Linotype" w:hAnsi="Palatino Linotype"/>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Así tenemos que el Diccionario de la Real Academia Española, los define así:</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276" w:lineRule="auto"/>
        <w:ind w:left="851" w:right="706"/>
        <w:jc w:val="both"/>
        <w:rPr>
          <w:rFonts w:ascii="Palatino Linotype" w:hAnsi="Palatino Linotype"/>
        </w:rPr>
      </w:pPr>
      <w:r w:rsidRPr="00BC5FC7">
        <w:rPr>
          <w:rFonts w:ascii="Palatino Linotype" w:hAnsi="Palatino Linotype"/>
        </w:rPr>
        <w:t>Interponer.-  “</w:t>
      </w:r>
      <w:r w:rsidRPr="00BC5FC7">
        <w:rPr>
          <w:rFonts w:ascii="Palatino Linotype" w:hAnsi="Palatino Linotype" w:hint="eastAsia"/>
        </w:rPr>
        <w:t>3. tr. Formalizar por medio de un pedimento alguno de los recursos legales, como el de nulidad, de apelación, etc.</w:t>
      </w:r>
      <w:r w:rsidRPr="00BC5FC7">
        <w:rPr>
          <w:rFonts w:ascii="Palatino Linotype" w:hAnsi="Palatino Linotype"/>
        </w:rPr>
        <w:t>”</w:t>
      </w:r>
    </w:p>
    <w:p w:rsidR="00B55DD1" w:rsidRPr="00BC5FC7" w:rsidRDefault="00B55DD1" w:rsidP="00B55DD1">
      <w:pPr>
        <w:spacing w:line="276" w:lineRule="auto"/>
        <w:ind w:left="851" w:right="706"/>
        <w:jc w:val="both"/>
        <w:rPr>
          <w:rFonts w:ascii="Palatino Linotype" w:hAnsi="Palatino Linotype"/>
        </w:rPr>
      </w:pPr>
    </w:p>
    <w:p w:rsidR="00B55DD1" w:rsidRPr="00BC5FC7" w:rsidRDefault="00B55DD1" w:rsidP="00B55DD1">
      <w:pPr>
        <w:spacing w:line="276" w:lineRule="auto"/>
        <w:ind w:left="851" w:right="706"/>
        <w:jc w:val="both"/>
        <w:rPr>
          <w:rFonts w:ascii="Palatino Linotype" w:hAnsi="Palatino Linotype"/>
        </w:rPr>
      </w:pPr>
      <w:r w:rsidRPr="00BC5FC7">
        <w:rPr>
          <w:rFonts w:ascii="Palatino Linotype" w:hAnsi="Palatino Linotype"/>
        </w:rPr>
        <w:t>Admisión.- “</w:t>
      </w:r>
      <w:r w:rsidRPr="00BC5FC7">
        <w:rPr>
          <w:rFonts w:ascii="Palatino Linotype" w:hAnsi="Palatino Linotype" w:hint="eastAsia"/>
        </w:rPr>
        <w:t>2. f. Der. Trámite en que, atendiendo a aspectos formales, se decide si una demanda, recurso o petición deben ser tomados en consideración para resolver el fondo.</w:t>
      </w:r>
      <w:r w:rsidRPr="00BC5FC7">
        <w:rPr>
          <w:rFonts w:ascii="Palatino Linotype" w:hAnsi="Palatino Linotype"/>
        </w:rPr>
        <w:t>”</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lastRenderedPageBreak/>
        <w:t xml:space="preserve">Entonces, no se debe confundir el acto que lleva a cabo el particular consistente en interponer su recurso de revisión, ese acto corresponde al recurrente que lo hace de mutuo propio, y no la autoridad. </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Mientras que la admisión o el desechamiento del recurso es un acto administrativo, el cual es diverso ya que se lleva de forma separada a la interposición del recurso, y el cual le corresponde a la autoridad llevar a cabo.</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BC5FC7">
        <w:rPr>
          <w:rFonts w:ascii="Palatino Linotype" w:hAnsi="Palatino Linotype"/>
        </w:rPr>
        <w:t>Anteriores consideraciones que se robustecen con el criterio emitido por el Poder Judicial de la Federación a continuación transcrito:</w:t>
      </w:r>
    </w:p>
    <w:p w:rsidR="00B55DD1" w:rsidRPr="00BC5FC7" w:rsidRDefault="00B55DD1" w:rsidP="00B55DD1">
      <w:pPr>
        <w:spacing w:line="360" w:lineRule="auto"/>
        <w:jc w:val="both"/>
        <w:rPr>
          <w:rFonts w:ascii="Palatino Linotype" w:hAnsi="Palatino Linotype"/>
        </w:rPr>
      </w:pPr>
    </w:p>
    <w:p w:rsidR="00B55DD1" w:rsidRPr="00BC5FC7" w:rsidRDefault="00B55DD1" w:rsidP="00B55DD1">
      <w:pPr>
        <w:spacing w:line="276" w:lineRule="auto"/>
        <w:ind w:left="851" w:right="992"/>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p>
    <w:p w:rsidR="00B55DD1" w:rsidRPr="00BC5FC7" w:rsidRDefault="00B55DD1" w:rsidP="00B55DD1">
      <w:pPr>
        <w:spacing w:line="276" w:lineRule="auto"/>
        <w:ind w:left="851" w:right="992"/>
        <w:jc w:val="both"/>
        <w:rPr>
          <w:rFonts w:ascii="Palatino Linotype" w:hAnsi="Palatino Linotype"/>
          <w:i/>
        </w:rPr>
      </w:pPr>
    </w:p>
    <w:p w:rsidR="00B55DD1" w:rsidRPr="00BC5FC7" w:rsidRDefault="00B55DD1" w:rsidP="00B55DD1">
      <w:pPr>
        <w:spacing w:line="276" w:lineRule="auto"/>
        <w:ind w:left="851" w:right="992"/>
        <w:jc w:val="both"/>
        <w:rPr>
          <w:rFonts w:ascii="Palatino Linotype" w:hAnsi="Palatino Linotype"/>
          <w:i/>
        </w:rPr>
      </w:pPr>
      <w:r w:rsidRPr="00BC5FC7">
        <w:rPr>
          <w:rFonts w:ascii="Palatino Linotype" w:hAnsi="Palatino Linotype"/>
          <w:i/>
        </w:rPr>
        <w:t xml:space="preserve">El hecho de que sea hasta la sentencia que se sobresea en el juicio de amparo, con fundamento en lo que establece la </w:t>
      </w:r>
      <w:hyperlink r:id="rId6"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no resulta incongruente con el hecho de haber sido admitida a trámite, pues en el auto admisorio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w:t>
      </w:r>
      <w:r w:rsidRPr="00BC5FC7">
        <w:rPr>
          <w:rFonts w:ascii="Palatino Linotype" w:hAnsi="Palatino Linotype"/>
          <w:i/>
        </w:rPr>
        <w:lastRenderedPageBreak/>
        <w:t xml:space="preserve">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B55DD1" w:rsidRPr="00BC5FC7" w:rsidRDefault="00B55DD1" w:rsidP="00B55DD1">
      <w:pPr>
        <w:spacing w:line="276" w:lineRule="auto"/>
        <w:ind w:left="851" w:right="992"/>
        <w:jc w:val="both"/>
        <w:rPr>
          <w:rFonts w:ascii="Palatino Linotype" w:hAnsi="Palatino Linotype"/>
          <w:i/>
        </w:rPr>
      </w:pPr>
    </w:p>
    <w:p w:rsidR="00B55DD1" w:rsidRPr="00BC5FC7" w:rsidRDefault="00B55DD1" w:rsidP="00B55DD1">
      <w:pPr>
        <w:spacing w:line="276" w:lineRule="auto"/>
        <w:ind w:left="851" w:right="992"/>
        <w:jc w:val="both"/>
        <w:rPr>
          <w:rFonts w:ascii="Palatino Linotype" w:hAnsi="Palatino Linotype"/>
          <w:i/>
        </w:rPr>
      </w:pPr>
      <w:r w:rsidRPr="00BC5FC7">
        <w:rPr>
          <w:rFonts w:ascii="Palatino Linotype" w:hAnsi="Palatino Linotype"/>
          <w:i/>
        </w:rPr>
        <w:t>CUARTO TRIBUNAL COLEGIADO EN MATERIA ADMINISTRATIVA DEL PRIMER CIRCUITO.</w:t>
      </w:r>
    </w:p>
    <w:p w:rsidR="00B55DD1" w:rsidRPr="00BC5FC7" w:rsidRDefault="00B55DD1" w:rsidP="00B55DD1">
      <w:pPr>
        <w:spacing w:line="276" w:lineRule="auto"/>
        <w:ind w:left="851" w:right="992"/>
        <w:jc w:val="both"/>
        <w:rPr>
          <w:rFonts w:ascii="Palatino Linotype" w:hAnsi="Palatino Linotype"/>
          <w:i/>
        </w:rPr>
      </w:pPr>
    </w:p>
    <w:p w:rsidR="00B55DD1" w:rsidRPr="00BC5FC7" w:rsidRDefault="00B55DD1" w:rsidP="00B55DD1">
      <w:pPr>
        <w:spacing w:line="276" w:lineRule="auto"/>
        <w:ind w:left="851" w:right="992"/>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B55DD1" w:rsidRPr="00BC5FC7" w:rsidRDefault="00B55DD1" w:rsidP="00B55DD1">
      <w:pPr>
        <w:spacing w:line="276" w:lineRule="auto"/>
        <w:jc w:val="both"/>
        <w:rPr>
          <w:rFonts w:ascii="Palatino Linotype" w:hAnsi="Palatino Linotype"/>
        </w:rPr>
      </w:pPr>
    </w:p>
    <w:p w:rsidR="00B55DD1" w:rsidRPr="00BC5FC7" w:rsidRDefault="00B55DD1" w:rsidP="00B55DD1">
      <w:pPr>
        <w:spacing w:line="360" w:lineRule="auto"/>
        <w:jc w:val="both"/>
        <w:rPr>
          <w:rFonts w:ascii="Palatino Linotype" w:hAnsi="Palatino Linotype"/>
        </w:rPr>
      </w:pPr>
      <w:r w:rsidRPr="00874B32">
        <w:rPr>
          <w:rFonts w:ascii="Palatino Linotype" w:hAnsi="Palatino Linotype"/>
        </w:rPr>
        <w:t xml:space="preserve">Ahora bien, de los autos del recurso de revisión </w:t>
      </w:r>
      <w:r w:rsidR="00874B32" w:rsidRPr="00874B32">
        <w:rPr>
          <w:rFonts w:ascii="Palatino Linotype" w:hAnsi="Palatino Linotype"/>
        </w:rPr>
        <w:t>01799</w:t>
      </w:r>
      <w:r w:rsidR="00C10906" w:rsidRPr="00874B32">
        <w:rPr>
          <w:rFonts w:ascii="Palatino Linotype" w:hAnsi="Palatino Linotype"/>
        </w:rPr>
        <w:t>/INFOEM/IP/RR/2019</w:t>
      </w:r>
      <w:r w:rsidRPr="00874B32">
        <w:rPr>
          <w:rFonts w:ascii="Palatino Linotype" w:hAnsi="Palatino Linotype"/>
        </w:rPr>
        <w:t xml:space="preserve"> se aprecia que en fecha </w:t>
      </w:r>
      <w:r w:rsidR="00874B32" w:rsidRPr="00874B32">
        <w:rPr>
          <w:rFonts w:ascii="Palatino Linotype" w:hAnsi="Palatino Linotype"/>
        </w:rPr>
        <w:t>diecisiete de marzo</w:t>
      </w:r>
      <w:r w:rsidRPr="00874B32">
        <w:rPr>
          <w:rFonts w:ascii="Palatino Linotype" w:hAnsi="Palatino Linotype"/>
        </w:rPr>
        <w:t xml:space="preserve"> de </w:t>
      </w:r>
      <w:r w:rsidR="00874B32" w:rsidRPr="00874B32">
        <w:rPr>
          <w:rFonts w:ascii="Palatino Linotype" w:hAnsi="Palatino Linotype"/>
        </w:rPr>
        <w:t>los corrientes</w:t>
      </w:r>
      <w:r w:rsidRPr="00874B32">
        <w:rPr>
          <w:rFonts w:ascii="Palatino Linotype" w:hAnsi="Palatino Linotype"/>
        </w:rPr>
        <w:t xml:space="preserve"> el recurrente </w:t>
      </w:r>
      <w:r w:rsidRPr="00874B32">
        <w:rPr>
          <w:rFonts w:ascii="Palatino Linotype" w:hAnsi="Palatino Linotype"/>
          <w:b/>
          <w:u w:val="single"/>
        </w:rPr>
        <w:t>interpuso</w:t>
      </w:r>
      <w:r w:rsidRPr="00874B32">
        <w:rPr>
          <w:rFonts w:ascii="Palatino Linotype" w:hAnsi="Palatino Linotype"/>
        </w:rPr>
        <w:t xml:space="preserve"> recurso de revisión y en la m</w:t>
      </w:r>
      <w:r w:rsidR="00874B32" w:rsidRPr="00874B32">
        <w:rPr>
          <w:rFonts w:ascii="Palatino Linotype" w:hAnsi="Palatino Linotype"/>
        </w:rPr>
        <w:t>isma fecha éste fue turnado a la Comisionada</w:t>
      </w:r>
      <w:r w:rsidRPr="00874B32">
        <w:rPr>
          <w:rFonts w:ascii="Palatino Linotype" w:hAnsi="Palatino Linotype"/>
        </w:rPr>
        <w:t xml:space="preserve"> Ponente</w:t>
      </w:r>
      <w:r w:rsidR="00874B32" w:rsidRPr="00874B32">
        <w:rPr>
          <w:rFonts w:ascii="Palatino Linotype" w:hAnsi="Palatino Linotype"/>
        </w:rPr>
        <w:t>.</w:t>
      </w:r>
    </w:p>
    <w:p w:rsidR="00B55DD1" w:rsidRPr="00BC5FC7" w:rsidRDefault="00B55DD1" w:rsidP="00B55DD1">
      <w:pPr>
        <w:spacing w:line="360" w:lineRule="auto"/>
        <w:jc w:val="center"/>
        <w:rPr>
          <w:rFonts w:ascii="Palatino Linotype" w:hAnsi="Palatino Linotype"/>
        </w:rPr>
      </w:pPr>
    </w:p>
    <w:p w:rsidR="00B55DD1" w:rsidRPr="00BC5FC7" w:rsidRDefault="00B55DD1" w:rsidP="00B55DD1">
      <w:pPr>
        <w:spacing w:line="360" w:lineRule="auto"/>
        <w:ind w:left="-851"/>
        <w:jc w:val="both"/>
        <w:rPr>
          <w:noProof/>
          <w:lang w:eastAsia="es-MX"/>
        </w:rPr>
      </w:pPr>
      <w:r w:rsidRPr="00BC5FC7">
        <w:rPr>
          <w:noProof/>
          <w:lang w:eastAsia="es-MX"/>
        </w:rPr>
        <w:t xml:space="preserve"> </w:t>
      </w:r>
    </w:p>
    <w:p w:rsidR="00B55DD1" w:rsidRPr="00BC5FC7" w:rsidRDefault="00874B32" w:rsidP="00B55DD1">
      <w:pPr>
        <w:spacing w:line="360" w:lineRule="auto"/>
        <w:jc w:val="both"/>
        <w:rPr>
          <w:rFonts w:ascii="Palatino Linotype" w:hAnsi="Palatino Linotype"/>
        </w:rPr>
      </w:pPr>
      <w:r>
        <w:rPr>
          <w:rFonts w:ascii="Palatino Linotype" w:hAnsi="Palatino Linotype"/>
        </w:rPr>
        <w:t>En este sentido, en el</w:t>
      </w:r>
      <w:r w:rsidR="00B55DD1" w:rsidRPr="00BC5FC7">
        <w:rPr>
          <w:rFonts w:ascii="Palatino Linotype" w:hAnsi="Palatino Linotype"/>
        </w:rPr>
        <w:t xml:space="preserve"> propio expediente electrónico separan la interposición del recurso, el turno y su admisión, porque evidentemente no son la misma actuación ni se refieren al mismo acto, como fue analizado.</w:t>
      </w:r>
    </w:p>
    <w:p w:rsidR="00B55DD1" w:rsidRPr="00BC5FC7" w:rsidRDefault="00B55DD1" w:rsidP="00B55DD1">
      <w:pPr>
        <w:spacing w:line="360" w:lineRule="auto"/>
        <w:jc w:val="both"/>
        <w:rPr>
          <w:rFonts w:ascii="Palatino Linotype" w:hAnsi="Palatino Linotype"/>
        </w:rPr>
      </w:pPr>
    </w:p>
    <w:p w:rsidR="00B55DD1" w:rsidRPr="00BC5FC7" w:rsidRDefault="00874B32" w:rsidP="00B55DD1">
      <w:pPr>
        <w:spacing w:line="360" w:lineRule="auto"/>
        <w:jc w:val="both"/>
        <w:rPr>
          <w:rFonts w:ascii="Palatino Linotype" w:hAnsi="Palatino Linotype"/>
        </w:rPr>
      </w:pPr>
      <w:r>
        <w:rPr>
          <w:rFonts w:ascii="Palatino Linotype" w:hAnsi="Palatino Linotype"/>
        </w:rPr>
        <w:lastRenderedPageBreak/>
        <w:t>Así las cosas, resulta que la</w:t>
      </w:r>
      <w:r w:rsidR="00B55DD1" w:rsidRPr="00BC5FC7">
        <w:rPr>
          <w:rFonts w:ascii="Palatino Linotype" w:hAnsi="Palatino Linotype"/>
        </w:rPr>
        <w:t xml:space="preserve"> Comis</w:t>
      </w:r>
      <w:r>
        <w:rPr>
          <w:rFonts w:ascii="Palatino Linotype" w:hAnsi="Palatino Linotype"/>
        </w:rPr>
        <w:t xml:space="preserve">ionada </w:t>
      </w:r>
      <w:r w:rsidR="00B55DD1" w:rsidRPr="00BC5FC7">
        <w:rPr>
          <w:rFonts w:ascii="Palatino Linotype" w:hAnsi="Palatino Linotype"/>
        </w:rPr>
        <w:t xml:space="preserve">Ponente admitió el recurso de revisión de forma separada a la interposición, tan es así que se dictó en otra fecha a su interposición como </w:t>
      </w:r>
      <w:r>
        <w:rPr>
          <w:rFonts w:ascii="Palatino Linotype" w:hAnsi="Palatino Linotype"/>
        </w:rPr>
        <w:t xml:space="preserve">obra en el expediente electrónico. </w:t>
      </w:r>
    </w:p>
    <w:p w:rsidR="00B55DD1" w:rsidRPr="00BC5FC7" w:rsidRDefault="00B55DD1" w:rsidP="00B55DD1">
      <w:pPr>
        <w:spacing w:line="360" w:lineRule="auto"/>
        <w:jc w:val="center"/>
        <w:rPr>
          <w:rFonts w:ascii="Palatino Linotype" w:hAnsi="Palatino Linotype"/>
        </w:rPr>
      </w:pPr>
    </w:p>
    <w:p w:rsidR="00B55DD1" w:rsidRPr="00BC5FC7" w:rsidRDefault="00B55DD1" w:rsidP="00B55DD1">
      <w:pPr>
        <w:spacing w:line="360" w:lineRule="auto"/>
        <w:jc w:val="both"/>
        <w:rPr>
          <w:rFonts w:ascii="Palatino Linotype" w:hAnsi="Palatino Linotype" w:cs="Arial"/>
        </w:rPr>
      </w:pPr>
      <w:r w:rsidRPr="00BC5FC7">
        <w:rPr>
          <w:rFonts w:ascii="Palatino Linotype" w:hAnsi="Palatino Linotype"/>
        </w:rPr>
        <w:t>Es decir, en el momento procesal oportuno para decretar su desechamiento o admi</w:t>
      </w:r>
      <w:r w:rsidR="00874B32">
        <w:rPr>
          <w:rFonts w:ascii="Palatino Linotype" w:hAnsi="Palatino Linotype"/>
        </w:rPr>
        <w:t>sión, la Comisionada</w:t>
      </w:r>
      <w:r>
        <w:rPr>
          <w:rFonts w:ascii="Palatino Linotype" w:hAnsi="Palatino Linotype"/>
        </w:rPr>
        <w:t xml:space="preserve"> Ponente lo</w:t>
      </w:r>
      <w:r w:rsidRPr="00BC5FC7">
        <w:rPr>
          <w:rFonts w:ascii="Palatino Linotype" w:hAnsi="Palatino Linotype"/>
        </w:rPr>
        <w:t xml:space="preserve"> admitió en términos del artículo 185 fracción I.</w:t>
      </w:r>
      <w:r w:rsidR="00874B32">
        <w:rPr>
          <w:rFonts w:ascii="Palatino Linotype" w:hAnsi="Palatino Linotype"/>
        </w:rPr>
        <w:t xml:space="preserve"> </w:t>
      </w:r>
      <w:r w:rsidRPr="00BC5FC7">
        <w:rPr>
          <w:rFonts w:ascii="Palatino Linotype" w:hAnsi="Palatino Linotype" w:cs="Arial"/>
        </w:rPr>
        <w:t>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B55DD1" w:rsidRPr="00BC5FC7" w:rsidRDefault="00B55DD1" w:rsidP="00B55DD1">
      <w:pPr>
        <w:spacing w:before="240" w:after="240" w:line="360" w:lineRule="auto"/>
        <w:jc w:val="both"/>
        <w:rPr>
          <w:rFonts w:ascii="Palatino Linotype" w:hAnsi="Palatino Linotype" w:cs="Arial"/>
        </w:rPr>
      </w:pPr>
      <w:r w:rsidRPr="00BC5FC7">
        <w:rPr>
          <w:rFonts w:ascii="Palatino Linotype" w:hAnsi="Palatino Linotype" w:cs="Arial"/>
        </w:rPr>
        <w:t>Toda vez que el recurso de revisión en estudio, se ha decretado su admisión y por ende su procedencia, es porque se actualizó alguna de las hipótesis previstas en el artículo 179 de la Ley en la materia, que claramente establece:</w:t>
      </w:r>
    </w:p>
    <w:p w:rsidR="00B55DD1" w:rsidRPr="00BC5FC7" w:rsidRDefault="00B55DD1" w:rsidP="00B55DD1">
      <w:pPr>
        <w:spacing w:before="240" w:after="240" w:line="276" w:lineRule="auto"/>
        <w:ind w:left="851" w:right="1134"/>
        <w:jc w:val="both"/>
        <w:rPr>
          <w:rFonts w:ascii="Palatino Linotype" w:hAnsi="Palatino Linotype" w:cs="Arial"/>
          <w:i/>
        </w:rPr>
      </w:pPr>
      <w:r w:rsidRPr="00BC5F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B55DD1" w:rsidRPr="00BC5FC7" w:rsidRDefault="00B55DD1" w:rsidP="00B55DD1">
      <w:pPr>
        <w:spacing w:before="240" w:after="240" w:line="360" w:lineRule="auto"/>
        <w:jc w:val="both"/>
        <w:rPr>
          <w:rFonts w:ascii="Palatino Linotype" w:hAnsi="Palatino Linotype" w:cs="Arial"/>
        </w:rPr>
      </w:pPr>
    </w:p>
    <w:p w:rsidR="00B55DD1" w:rsidRPr="00AA7C8B" w:rsidRDefault="00B55DD1" w:rsidP="00B55DD1">
      <w:pPr>
        <w:spacing w:before="240" w:after="240" w:line="360" w:lineRule="auto"/>
        <w:jc w:val="both"/>
        <w:rPr>
          <w:rFonts w:ascii="Palatino Linotype" w:hAnsi="Palatino Linotype" w:cs="Arial"/>
        </w:rPr>
      </w:pPr>
      <w:r w:rsidRPr="00BC5FC7">
        <w:rPr>
          <w:rFonts w:ascii="Palatino Linotype" w:hAnsi="Palatino Linotype" w:cs="Arial"/>
        </w:rPr>
        <w:lastRenderedPageBreak/>
        <w:t>Como se puede observar, el artículo en cita es el único dentro de la Ley de Transparencia y Acceso a la Información Pública del Estado de México y Municipios, que prevé las causas de procedencia de los recursos de revisión, (sin que se advierta la existencia de alguno otro) por ello es que para que se admita un recurso de revisión se debe actualizar uno de los supuestos previstos en el artículo aludido.</w:t>
      </w:r>
    </w:p>
    <w:p w:rsidR="00B55DD1" w:rsidRDefault="00B55DD1" w:rsidP="00B55DD1">
      <w:pPr>
        <w:spacing w:line="360" w:lineRule="auto"/>
        <w:jc w:val="both"/>
        <w:rPr>
          <w:rFonts w:ascii="Palatino Linotype" w:hAnsi="Palatino Linotype"/>
        </w:rPr>
      </w:pPr>
    </w:p>
    <w:p w:rsidR="00B55DD1" w:rsidRDefault="008A7E1C" w:rsidP="00B55DD1">
      <w:pPr>
        <w:spacing w:line="360" w:lineRule="auto"/>
        <w:jc w:val="both"/>
        <w:rPr>
          <w:rFonts w:ascii="Palatino Linotype" w:hAnsi="Palatino Linotype"/>
        </w:rPr>
      </w:pPr>
      <w:r>
        <w:rPr>
          <w:rFonts w:ascii="Palatino Linotype" w:hAnsi="Palatino Linotype"/>
        </w:rPr>
        <w:t xml:space="preserve"> </w:t>
      </w:r>
      <w:r w:rsidR="00D634D0">
        <w:rPr>
          <w:rFonts w:ascii="Palatino Linotype" w:hAnsi="Palatino Linotype"/>
        </w:rPr>
        <w:t xml:space="preserve"> </w:t>
      </w:r>
    </w:p>
    <w:p w:rsidR="00B55DD1" w:rsidRDefault="00B55DD1" w:rsidP="00B55DD1">
      <w:pPr>
        <w:spacing w:line="360" w:lineRule="auto"/>
        <w:jc w:val="both"/>
        <w:rPr>
          <w:rFonts w:ascii="Palatino Linotype" w:hAnsi="Palatino Linotype"/>
        </w:rPr>
      </w:pPr>
    </w:p>
    <w:p w:rsidR="00B55DD1" w:rsidRDefault="00B55DD1" w:rsidP="00B55DD1">
      <w:pPr>
        <w:spacing w:line="360" w:lineRule="auto"/>
        <w:jc w:val="both"/>
        <w:rPr>
          <w:rFonts w:ascii="Palatino Linotype" w:hAnsi="Palatino Linotype"/>
        </w:rPr>
      </w:pPr>
    </w:p>
    <w:p w:rsidR="00B55DD1" w:rsidRDefault="00B55DD1" w:rsidP="00B55DD1">
      <w:pPr>
        <w:spacing w:line="360" w:lineRule="auto"/>
        <w:jc w:val="both"/>
        <w:rPr>
          <w:rFonts w:ascii="Palatino Linotype" w:hAnsi="Palatino Linotype"/>
        </w:rPr>
      </w:pPr>
    </w:p>
    <w:p w:rsidR="00B55DD1" w:rsidRDefault="00B55DD1" w:rsidP="00B55DD1">
      <w:pPr>
        <w:spacing w:line="360" w:lineRule="auto"/>
        <w:jc w:val="both"/>
        <w:rPr>
          <w:rFonts w:ascii="Palatino Linotype" w:hAnsi="Palatino Linotype"/>
        </w:rPr>
      </w:pPr>
    </w:p>
    <w:tbl>
      <w:tblPr>
        <w:tblStyle w:val="Tablaconcuadrcula"/>
        <w:tblW w:w="972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3"/>
        <w:gridCol w:w="468"/>
        <w:gridCol w:w="4478"/>
      </w:tblGrid>
      <w:tr w:rsidR="00874B32" w:rsidTr="00874B32">
        <w:trPr>
          <w:trHeight w:val="515"/>
          <w:jc w:val="center"/>
        </w:trPr>
        <w:tc>
          <w:tcPr>
            <w:tcW w:w="4783" w:type="dxa"/>
          </w:tcPr>
          <w:p w:rsidR="00874B32" w:rsidRDefault="00874B32" w:rsidP="000814D4">
            <w:pPr>
              <w:spacing w:line="360" w:lineRule="auto"/>
              <w:jc w:val="center"/>
              <w:rPr>
                <w:rFonts w:ascii="Palatino Linotype" w:hAnsi="Palatino Linotype"/>
                <w:b/>
              </w:rPr>
            </w:pPr>
            <w:r>
              <w:rPr>
                <w:rFonts w:ascii="Palatino Linotype" w:hAnsi="Palatino Linotype"/>
                <w:b/>
              </w:rPr>
              <w:t xml:space="preserve">Zulema Martínez Sánchez </w:t>
            </w:r>
          </w:p>
        </w:tc>
        <w:tc>
          <w:tcPr>
            <w:tcW w:w="468" w:type="dxa"/>
          </w:tcPr>
          <w:p w:rsidR="00874B32" w:rsidRDefault="00874B32" w:rsidP="000814D4">
            <w:pPr>
              <w:spacing w:line="360" w:lineRule="auto"/>
              <w:jc w:val="center"/>
              <w:rPr>
                <w:rFonts w:ascii="Palatino Linotype" w:hAnsi="Palatino Linotype"/>
                <w:b/>
              </w:rPr>
            </w:pPr>
          </w:p>
        </w:tc>
        <w:tc>
          <w:tcPr>
            <w:tcW w:w="4478" w:type="dxa"/>
          </w:tcPr>
          <w:p w:rsidR="00874B32" w:rsidRDefault="00874B32" w:rsidP="000814D4">
            <w:pPr>
              <w:spacing w:line="360" w:lineRule="auto"/>
              <w:jc w:val="center"/>
              <w:rPr>
                <w:rFonts w:ascii="Palatino Linotype" w:hAnsi="Palatino Linotype"/>
                <w:b/>
              </w:rPr>
            </w:pPr>
            <w:r>
              <w:rPr>
                <w:rFonts w:ascii="Palatino Linotype" w:hAnsi="Palatino Linotype"/>
                <w:b/>
              </w:rPr>
              <w:t xml:space="preserve">Javier Martínez Cruz </w:t>
            </w:r>
          </w:p>
        </w:tc>
      </w:tr>
      <w:tr w:rsidR="00874B32" w:rsidTr="00874B32">
        <w:trPr>
          <w:trHeight w:val="504"/>
          <w:jc w:val="center"/>
        </w:trPr>
        <w:tc>
          <w:tcPr>
            <w:tcW w:w="4783" w:type="dxa"/>
          </w:tcPr>
          <w:p w:rsidR="00874B32" w:rsidRDefault="00874B32" w:rsidP="000814D4">
            <w:pPr>
              <w:spacing w:line="360" w:lineRule="auto"/>
              <w:jc w:val="center"/>
              <w:rPr>
                <w:rFonts w:ascii="Palatino Linotype" w:hAnsi="Palatino Linotype"/>
                <w:b/>
              </w:rPr>
            </w:pPr>
            <w:r>
              <w:rPr>
                <w:rFonts w:ascii="Palatino Linotype" w:hAnsi="Palatino Linotype"/>
                <w:b/>
              </w:rPr>
              <w:t>Comisionada</w:t>
            </w:r>
            <w:r w:rsidR="00F64DF2">
              <w:rPr>
                <w:rFonts w:ascii="Palatino Linotype" w:hAnsi="Palatino Linotype"/>
                <w:b/>
              </w:rPr>
              <w:t xml:space="preserve"> Presidenta</w:t>
            </w:r>
          </w:p>
          <w:p w:rsidR="00F64DF2" w:rsidRDefault="00F64DF2" w:rsidP="000814D4">
            <w:pPr>
              <w:spacing w:line="360" w:lineRule="auto"/>
              <w:jc w:val="center"/>
              <w:rPr>
                <w:rFonts w:ascii="Palatino Linotype" w:hAnsi="Palatino Linotype"/>
                <w:b/>
              </w:rPr>
            </w:pPr>
            <w:r>
              <w:rPr>
                <w:rFonts w:ascii="Palatino Linotype" w:hAnsi="Palatino Linotype"/>
                <w:b/>
              </w:rPr>
              <w:t>(Rúbrica)</w:t>
            </w:r>
          </w:p>
          <w:p w:rsidR="00874B32" w:rsidRDefault="00874B32" w:rsidP="000814D4">
            <w:pPr>
              <w:spacing w:line="360" w:lineRule="auto"/>
              <w:jc w:val="center"/>
              <w:rPr>
                <w:rFonts w:ascii="Palatino Linotype" w:hAnsi="Palatino Linotype"/>
                <w:b/>
              </w:rPr>
            </w:pPr>
          </w:p>
        </w:tc>
        <w:tc>
          <w:tcPr>
            <w:tcW w:w="468" w:type="dxa"/>
          </w:tcPr>
          <w:p w:rsidR="00874B32" w:rsidRDefault="00874B32" w:rsidP="000814D4">
            <w:pPr>
              <w:spacing w:line="360" w:lineRule="auto"/>
              <w:jc w:val="center"/>
              <w:rPr>
                <w:rFonts w:ascii="Palatino Linotype" w:hAnsi="Palatino Linotype"/>
                <w:b/>
              </w:rPr>
            </w:pPr>
          </w:p>
        </w:tc>
        <w:tc>
          <w:tcPr>
            <w:tcW w:w="4478" w:type="dxa"/>
          </w:tcPr>
          <w:p w:rsidR="00874B32" w:rsidRDefault="00874B32" w:rsidP="000814D4">
            <w:pPr>
              <w:spacing w:line="360" w:lineRule="auto"/>
              <w:jc w:val="center"/>
              <w:rPr>
                <w:rFonts w:ascii="Palatino Linotype" w:hAnsi="Palatino Linotype"/>
                <w:b/>
              </w:rPr>
            </w:pPr>
            <w:r>
              <w:rPr>
                <w:rFonts w:ascii="Palatino Linotype" w:hAnsi="Palatino Linotype"/>
                <w:b/>
              </w:rPr>
              <w:t>Comisionado</w:t>
            </w:r>
          </w:p>
          <w:p w:rsidR="00874B32" w:rsidRDefault="002B79A3" w:rsidP="000814D4">
            <w:pPr>
              <w:spacing w:line="360" w:lineRule="auto"/>
              <w:jc w:val="center"/>
              <w:rPr>
                <w:rFonts w:ascii="Palatino Linotype" w:hAnsi="Palatino Linotype"/>
                <w:b/>
              </w:rPr>
            </w:pPr>
            <w:r>
              <w:rPr>
                <w:rFonts w:ascii="Palatino Linotype" w:hAnsi="Palatino Linotype"/>
                <w:b/>
              </w:rPr>
              <w:t xml:space="preserve"> </w:t>
            </w:r>
            <w:r w:rsidR="00F64DF2">
              <w:rPr>
                <w:rFonts w:ascii="Palatino Linotype" w:hAnsi="Palatino Linotype"/>
                <w:b/>
              </w:rPr>
              <w:t xml:space="preserve"> (Rúbrica)</w:t>
            </w:r>
          </w:p>
        </w:tc>
      </w:tr>
    </w:tbl>
    <w:p w:rsidR="00B55DD1" w:rsidRDefault="00B55DD1" w:rsidP="00B55DD1">
      <w:pPr>
        <w:spacing w:line="360" w:lineRule="auto"/>
        <w:jc w:val="center"/>
        <w:rPr>
          <w:rFonts w:ascii="Palatino Linotype" w:hAnsi="Palatino Linotype"/>
          <w:b/>
          <w:sz w:val="28"/>
          <w:szCs w:val="28"/>
        </w:rPr>
      </w:pPr>
    </w:p>
    <w:p w:rsidR="00B55DD1" w:rsidRDefault="00B55DD1" w:rsidP="00B55DD1">
      <w:pPr>
        <w:jc w:val="both"/>
        <w:rPr>
          <w:rFonts w:ascii="Palatino Linotype" w:hAnsi="Palatino Linotype"/>
          <w:b/>
        </w:rPr>
      </w:pPr>
    </w:p>
    <w:p w:rsidR="00B55DD1" w:rsidRDefault="00B55DD1" w:rsidP="00B55DD1">
      <w:pPr>
        <w:jc w:val="both"/>
        <w:rPr>
          <w:rFonts w:ascii="Palatino Linotype" w:hAnsi="Palatino Linotype"/>
          <w:sz w:val="20"/>
          <w:szCs w:val="20"/>
        </w:rPr>
      </w:pPr>
    </w:p>
    <w:p w:rsidR="00B55DD1" w:rsidRPr="00862BD4" w:rsidRDefault="00B55DD1" w:rsidP="00B55DD1">
      <w:pPr>
        <w:jc w:val="both"/>
        <w:rPr>
          <w:rFonts w:ascii="Palatino Linotype" w:hAnsi="Palatino Linotype"/>
          <w:sz w:val="20"/>
          <w:szCs w:val="20"/>
        </w:rPr>
      </w:pPr>
      <w:r w:rsidRPr="00862BD4">
        <w:rPr>
          <w:rFonts w:ascii="Palatino Linotype" w:hAnsi="Palatino Linotype"/>
          <w:sz w:val="20"/>
          <w:szCs w:val="20"/>
        </w:rPr>
        <w:t>Esta hoja corres</w:t>
      </w:r>
      <w:r>
        <w:rPr>
          <w:rFonts w:ascii="Palatino Linotype" w:hAnsi="Palatino Linotype"/>
          <w:sz w:val="20"/>
          <w:szCs w:val="20"/>
        </w:rPr>
        <w:t>ponde al voto particular emitido</w:t>
      </w:r>
      <w:r w:rsidRPr="00862BD4">
        <w:rPr>
          <w:rFonts w:ascii="Palatino Linotype" w:hAnsi="Palatino Linotype"/>
          <w:sz w:val="20"/>
          <w:szCs w:val="20"/>
        </w:rPr>
        <w:t xml:space="preserve"> en el recurso de revisión </w:t>
      </w:r>
      <w:r w:rsidR="00874B32">
        <w:rPr>
          <w:rFonts w:ascii="Palatino Linotype" w:hAnsi="Palatino Linotype"/>
          <w:sz w:val="20"/>
          <w:szCs w:val="20"/>
        </w:rPr>
        <w:t>01799/INFOEM/IP/RR/2019</w:t>
      </w:r>
      <w:r>
        <w:rPr>
          <w:rFonts w:ascii="Palatino Linotype" w:hAnsi="Palatino Linotype"/>
          <w:sz w:val="20"/>
          <w:szCs w:val="20"/>
        </w:rPr>
        <w:t xml:space="preserve">, </w:t>
      </w:r>
      <w:r w:rsidRPr="00862BD4">
        <w:rPr>
          <w:rFonts w:ascii="Palatino Linotype" w:hAnsi="Palatino Linotype"/>
          <w:sz w:val="20"/>
          <w:szCs w:val="20"/>
        </w:rPr>
        <w:t xml:space="preserve">aprobado en fecha </w:t>
      </w:r>
      <w:r w:rsidR="00874B32">
        <w:rPr>
          <w:rFonts w:ascii="Palatino Linotype" w:hAnsi="Palatino Linotype"/>
          <w:sz w:val="20"/>
          <w:szCs w:val="20"/>
        </w:rPr>
        <w:t xml:space="preserve">cinco </w:t>
      </w:r>
      <w:r>
        <w:rPr>
          <w:rFonts w:ascii="Palatino Linotype" w:hAnsi="Palatino Linotype"/>
          <w:sz w:val="20"/>
          <w:szCs w:val="20"/>
        </w:rPr>
        <w:t xml:space="preserve">de junio de dos mil </w:t>
      </w:r>
      <w:r w:rsidR="00874B32">
        <w:rPr>
          <w:rFonts w:ascii="Palatino Linotype" w:hAnsi="Palatino Linotype"/>
          <w:sz w:val="20"/>
          <w:szCs w:val="20"/>
        </w:rPr>
        <w:t xml:space="preserve">diecinueve. </w:t>
      </w:r>
    </w:p>
    <w:p w:rsidR="00B55DD1" w:rsidRPr="009122C0" w:rsidRDefault="00874B32" w:rsidP="00B55DD1">
      <w:pPr>
        <w:jc w:val="both"/>
        <w:rPr>
          <w:rFonts w:ascii="Palatino Linotype" w:hAnsi="Palatino Linotype"/>
          <w:sz w:val="16"/>
          <w:szCs w:val="16"/>
        </w:rPr>
      </w:pPr>
      <w:r>
        <w:rPr>
          <w:rFonts w:ascii="Palatino Linotype" w:hAnsi="Palatino Linotype"/>
          <w:sz w:val="20"/>
          <w:szCs w:val="20"/>
        </w:rPr>
        <w:t>OSAM/JCMA</w:t>
      </w:r>
    </w:p>
    <w:sectPr w:rsidR="00B55DD1" w:rsidRPr="009122C0" w:rsidSect="006819C6">
      <w:headerReference w:type="default" r:id="rId7"/>
      <w:footerReference w:type="default" r:id="rId8"/>
      <w:pgSz w:w="12240" w:h="15840"/>
      <w:pgMar w:top="1135" w:right="1701" w:bottom="1417" w:left="1701" w:header="708" w:footer="9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A9F" w:rsidRDefault="00311A9F" w:rsidP="00453476">
      <w:r>
        <w:separator/>
      </w:r>
    </w:p>
  </w:endnote>
  <w:endnote w:type="continuationSeparator" w:id="0">
    <w:p w:rsidR="00311A9F" w:rsidRDefault="00311A9F" w:rsidP="0045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59B" w:rsidRDefault="00C95D9F">
    <w:pPr>
      <w:pStyle w:val="Piedepgina"/>
    </w:pPr>
  </w:p>
  <w:p w:rsidR="0014359B" w:rsidRDefault="00C95D9F">
    <w:pPr>
      <w:pStyle w:val="Piedepgina"/>
    </w:pPr>
  </w:p>
  <w:p w:rsidR="0014359B" w:rsidRDefault="00C95D9F">
    <w:pPr>
      <w:pStyle w:val="Piedepgina"/>
    </w:pPr>
  </w:p>
  <w:p w:rsidR="0014359B" w:rsidRDefault="00C95D9F">
    <w:pPr>
      <w:pStyle w:val="Piedepgina"/>
    </w:pPr>
  </w:p>
  <w:p w:rsidR="0014359B" w:rsidRPr="00757B5E" w:rsidRDefault="0060612E" w:rsidP="00757B5E">
    <w:pPr>
      <w:pStyle w:val="Piedepgina"/>
      <w:jc w:val="right"/>
      <w:rPr>
        <w:rFonts w:ascii="Palatino Linotype" w:hAnsi="Palatino Linotype"/>
        <w:sz w:val="20"/>
      </w:rPr>
    </w:pPr>
    <w:r w:rsidRPr="00757B5E">
      <w:rPr>
        <w:rFonts w:ascii="Palatino Linotype" w:hAnsi="Palatino Linotype"/>
        <w:sz w:val="20"/>
        <w:lang w:val="es-ES"/>
      </w:rPr>
      <w:t xml:space="preserve">Página </w:t>
    </w:r>
    <w:r w:rsidRPr="00757B5E">
      <w:rPr>
        <w:rFonts w:ascii="Palatino Linotype" w:hAnsi="Palatino Linotype"/>
        <w:b/>
        <w:bCs/>
        <w:sz w:val="20"/>
      </w:rPr>
      <w:fldChar w:fldCharType="begin"/>
    </w:r>
    <w:r w:rsidRPr="00757B5E">
      <w:rPr>
        <w:rFonts w:ascii="Palatino Linotype" w:hAnsi="Palatino Linotype"/>
        <w:b/>
        <w:bCs/>
        <w:sz w:val="20"/>
      </w:rPr>
      <w:instrText>PAGE  \* Arabic  \* MERGEFORMAT</w:instrText>
    </w:r>
    <w:r w:rsidRPr="00757B5E">
      <w:rPr>
        <w:rFonts w:ascii="Palatino Linotype" w:hAnsi="Palatino Linotype"/>
        <w:b/>
        <w:bCs/>
        <w:sz w:val="20"/>
      </w:rPr>
      <w:fldChar w:fldCharType="separate"/>
    </w:r>
    <w:r w:rsidR="00C95D9F" w:rsidRPr="00C95D9F">
      <w:rPr>
        <w:rFonts w:ascii="Palatino Linotype" w:hAnsi="Palatino Linotype"/>
        <w:b/>
        <w:bCs/>
        <w:noProof/>
        <w:sz w:val="20"/>
        <w:lang w:val="es-ES"/>
      </w:rPr>
      <w:t>8</w:t>
    </w:r>
    <w:r w:rsidRPr="00757B5E">
      <w:rPr>
        <w:rFonts w:ascii="Palatino Linotype" w:hAnsi="Palatino Linotype"/>
        <w:b/>
        <w:bCs/>
        <w:sz w:val="20"/>
      </w:rPr>
      <w:fldChar w:fldCharType="end"/>
    </w:r>
    <w:r w:rsidRPr="00757B5E">
      <w:rPr>
        <w:rFonts w:ascii="Palatino Linotype" w:hAnsi="Palatino Linotype"/>
        <w:sz w:val="20"/>
        <w:lang w:val="es-ES"/>
      </w:rPr>
      <w:t xml:space="preserve"> de </w:t>
    </w:r>
    <w:r w:rsidRPr="00757B5E">
      <w:rPr>
        <w:rFonts w:ascii="Palatino Linotype" w:hAnsi="Palatino Linotype"/>
        <w:b/>
        <w:bCs/>
        <w:sz w:val="20"/>
      </w:rPr>
      <w:fldChar w:fldCharType="begin"/>
    </w:r>
    <w:r w:rsidRPr="00757B5E">
      <w:rPr>
        <w:rFonts w:ascii="Palatino Linotype" w:hAnsi="Palatino Linotype"/>
        <w:b/>
        <w:bCs/>
        <w:sz w:val="20"/>
      </w:rPr>
      <w:instrText>NUMPAGES  \* Arabic  \* MERGEFORMAT</w:instrText>
    </w:r>
    <w:r w:rsidRPr="00757B5E">
      <w:rPr>
        <w:rFonts w:ascii="Palatino Linotype" w:hAnsi="Palatino Linotype"/>
        <w:b/>
        <w:bCs/>
        <w:sz w:val="20"/>
      </w:rPr>
      <w:fldChar w:fldCharType="separate"/>
    </w:r>
    <w:r w:rsidR="00C95D9F" w:rsidRPr="00C95D9F">
      <w:rPr>
        <w:rFonts w:ascii="Palatino Linotype" w:hAnsi="Palatino Linotype"/>
        <w:b/>
        <w:bCs/>
        <w:noProof/>
        <w:sz w:val="20"/>
        <w:lang w:val="es-ES"/>
      </w:rPr>
      <w:t>8</w:t>
    </w:r>
    <w:r w:rsidRPr="00757B5E">
      <w:rPr>
        <w:rFonts w:ascii="Palatino Linotype" w:hAnsi="Palatino Linotype"/>
        <w:b/>
        <w:bCs/>
        <w:sz w:val="20"/>
      </w:rPr>
      <w:fldChar w:fldCharType="end"/>
    </w:r>
  </w:p>
  <w:p w:rsidR="0014359B" w:rsidRDefault="00C95D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A9F" w:rsidRDefault="00311A9F" w:rsidP="00453476">
      <w:r>
        <w:separator/>
      </w:r>
    </w:p>
  </w:footnote>
  <w:footnote w:type="continuationSeparator" w:id="0">
    <w:p w:rsidR="00311A9F" w:rsidRDefault="00311A9F" w:rsidP="0045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59B" w:rsidRDefault="0060612E" w:rsidP="0014359B">
    <w:pPr>
      <w:pStyle w:val="Encabezado"/>
      <w:tabs>
        <w:tab w:val="clear" w:pos="4252"/>
        <w:tab w:val="clear" w:pos="8504"/>
        <w:tab w:val="left" w:pos="2114"/>
      </w:tabs>
    </w:pPr>
    <w:r>
      <w:rPr>
        <w:noProof/>
        <w:lang w:val="es-MX" w:eastAsia="es-MX"/>
      </w:rPr>
      <w:drawing>
        <wp:anchor distT="0" distB="0" distL="114300" distR="114300" simplePos="0" relativeHeight="251657216" behindDoc="1" locked="0" layoutInCell="1" allowOverlap="1" wp14:anchorId="7244D689" wp14:editId="55E744C6">
          <wp:simplePos x="0" y="0"/>
          <wp:positionH relativeFrom="margin">
            <wp:align>center</wp:align>
          </wp:positionH>
          <wp:positionV relativeFrom="paragraph">
            <wp:posOffset>-408305</wp:posOffset>
          </wp:positionV>
          <wp:extent cx="7658100" cy="997394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jpg"/>
                  <pic:cNvPicPr/>
                </pic:nvPicPr>
                <pic:blipFill>
                  <a:blip r:embed="rId1">
                    <a:extLst>
                      <a:ext uri="{28A0092B-C50C-407E-A947-70E740481C1C}">
                        <a14:useLocalDpi xmlns:a14="http://schemas.microsoft.com/office/drawing/2010/main" val="0"/>
                      </a:ext>
                    </a:extLst>
                  </a:blip>
                  <a:stretch>
                    <a:fillRect/>
                  </a:stretch>
                </pic:blipFill>
                <pic:spPr>
                  <a:xfrm>
                    <a:off x="0" y="0"/>
                    <a:ext cx="7658100" cy="99739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95D9F">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82673" o:spid="_x0000_s2049" type="#_x0000_t136" style="position:absolute;margin-left:0;margin-top:0;width:564.1pt;height:65.05pt;rotation:315;z-index:-251658240;mso-position-horizontal:center;mso-position-horizontal-relative:margin;mso-position-vertical:center;mso-position-vertical-relative:margin" o:allowincell="f" fillcolor="#ffc9c9" stroked="f">
          <v:fill opacity=".5"/>
          <v:textpath style="font-family:&quot;Calibri&quot;;font-size:1pt;font-weight:bold" string="VOTO PARTICULAR CONCUERRENTE"/>
          <w10:wrap anchorx="margin" anchory="margin"/>
        </v:shape>
      </w:pict>
    </w:r>
    <w:r>
      <w:tab/>
    </w:r>
  </w:p>
  <w:p w:rsidR="0014359B" w:rsidRDefault="00C95D9F" w:rsidP="0014359B">
    <w:pPr>
      <w:pStyle w:val="Encabezado"/>
      <w:tabs>
        <w:tab w:val="clear" w:pos="4252"/>
        <w:tab w:val="clear" w:pos="8504"/>
        <w:tab w:val="left" w:pos="2114"/>
      </w:tabs>
    </w:pPr>
  </w:p>
  <w:p w:rsidR="0014359B" w:rsidRDefault="00C95D9F" w:rsidP="0014359B">
    <w:pPr>
      <w:pStyle w:val="Encabezado"/>
      <w:tabs>
        <w:tab w:val="clear" w:pos="4252"/>
        <w:tab w:val="clear" w:pos="8504"/>
        <w:tab w:val="left" w:pos="2114"/>
      </w:tabs>
    </w:pPr>
  </w:p>
  <w:p w:rsidR="00757B5E" w:rsidRDefault="0060612E" w:rsidP="00757B5E">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6A4CD5">
      <w:rPr>
        <w:rFonts w:ascii="Palatino Linotype" w:hAnsi="Palatino Linotype" w:cs="Arial"/>
        <w:b/>
        <w:sz w:val="20"/>
        <w:szCs w:val="20"/>
      </w:rPr>
      <w:t xml:space="preserve"> CONCURRENTE</w:t>
    </w:r>
  </w:p>
  <w:p w:rsidR="006A4CD5" w:rsidRPr="006A4CD5" w:rsidRDefault="006A4CD5" w:rsidP="00757B5E">
    <w:pPr>
      <w:pStyle w:val="Encabezado"/>
      <w:jc w:val="right"/>
      <w:rPr>
        <w:rFonts w:ascii="Palatino Linotype" w:hAnsi="Palatino Linotype" w:cs="Arial"/>
        <w:b/>
        <w:sz w:val="16"/>
        <w:szCs w:val="20"/>
      </w:rPr>
    </w:pPr>
  </w:p>
  <w:p w:rsidR="00757B5E" w:rsidRPr="00563D0F" w:rsidRDefault="0060612E" w:rsidP="00757B5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bCs/>
        <w:sz w:val="22"/>
        <w:szCs w:val="22"/>
        <w:lang w:eastAsia="es-MX"/>
      </w:rPr>
      <w:t>0</w:t>
    </w:r>
    <w:r w:rsidR="00874B32">
      <w:rPr>
        <w:rFonts w:ascii="Palatino Linotype" w:hAnsi="Palatino Linotype" w:cs="Arial"/>
        <w:b/>
        <w:bCs/>
        <w:sz w:val="22"/>
        <w:szCs w:val="22"/>
        <w:lang w:eastAsia="es-MX"/>
      </w:rPr>
      <w:t>1799</w:t>
    </w:r>
    <w:r w:rsidR="00C10906">
      <w:rPr>
        <w:rFonts w:ascii="Palatino Linotype" w:hAnsi="Palatino Linotype" w:cs="Arial"/>
        <w:b/>
        <w:bCs/>
        <w:sz w:val="22"/>
        <w:szCs w:val="22"/>
        <w:lang w:eastAsia="es-MX"/>
      </w:rPr>
      <w:t>/INFOEM/IP/RR/2019</w:t>
    </w:r>
  </w:p>
  <w:p w:rsidR="0014359B" w:rsidRPr="006A4CD5" w:rsidRDefault="00C95D9F" w:rsidP="0014359B">
    <w:pPr>
      <w:pStyle w:val="Encabezado"/>
      <w:tabs>
        <w:tab w:val="clear" w:pos="4252"/>
        <w:tab w:val="clear" w:pos="8504"/>
        <w:tab w:val="left" w:pos="211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76"/>
    <w:rsid w:val="000B79FC"/>
    <w:rsid w:val="000D3286"/>
    <w:rsid w:val="000D5785"/>
    <w:rsid w:val="00221205"/>
    <w:rsid w:val="0028718B"/>
    <w:rsid w:val="002A79DD"/>
    <w:rsid w:val="002B79A3"/>
    <w:rsid w:val="00311A9F"/>
    <w:rsid w:val="00395AF7"/>
    <w:rsid w:val="004275F4"/>
    <w:rsid w:val="00453476"/>
    <w:rsid w:val="00480D37"/>
    <w:rsid w:val="00601667"/>
    <w:rsid w:val="0060612E"/>
    <w:rsid w:val="00687E3E"/>
    <w:rsid w:val="006A4CD5"/>
    <w:rsid w:val="006D4154"/>
    <w:rsid w:val="008561EC"/>
    <w:rsid w:val="00874B32"/>
    <w:rsid w:val="008830CF"/>
    <w:rsid w:val="008A7E1C"/>
    <w:rsid w:val="00A174C2"/>
    <w:rsid w:val="00A36874"/>
    <w:rsid w:val="00AA7BC4"/>
    <w:rsid w:val="00B55DD1"/>
    <w:rsid w:val="00C10906"/>
    <w:rsid w:val="00C10B08"/>
    <w:rsid w:val="00C519A3"/>
    <w:rsid w:val="00C95D9F"/>
    <w:rsid w:val="00CC72ED"/>
    <w:rsid w:val="00D31F16"/>
    <w:rsid w:val="00D634D0"/>
    <w:rsid w:val="00D94B5F"/>
    <w:rsid w:val="00DF0079"/>
    <w:rsid w:val="00F64DF2"/>
    <w:rsid w:val="00F76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C33E3A7-7C69-453F-A17F-DD36C10D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76"/>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3476"/>
    <w:pPr>
      <w:tabs>
        <w:tab w:val="center" w:pos="4252"/>
        <w:tab w:val="right" w:pos="8504"/>
      </w:tabs>
    </w:pPr>
  </w:style>
  <w:style w:type="character" w:customStyle="1" w:styleId="EncabezadoCar">
    <w:name w:val="Encabezado Car"/>
    <w:basedOn w:val="Fuentedeprrafopredeter"/>
    <w:link w:val="Encabezado"/>
    <w:uiPriority w:val="99"/>
    <w:rsid w:val="00453476"/>
    <w:rPr>
      <w:rFonts w:eastAsiaTheme="minorEastAsia"/>
      <w:sz w:val="24"/>
      <w:szCs w:val="24"/>
      <w:lang w:val="es-ES_tradnl" w:eastAsia="es-ES"/>
    </w:rPr>
  </w:style>
  <w:style w:type="paragraph" w:styleId="Piedepgina">
    <w:name w:val="footer"/>
    <w:basedOn w:val="Normal"/>
    <w:link w:val="PiedepginaCar"/>
    <w:uiPriority w:val="99"/>
    <w:unhideWhenUsed/>
    <w:rsid w:val="00453476"/>
    <w:pPr>
      <w:tabs>
        <w:tab w:val="center" w:pos="4252"/>
        <w:tab w:val="right" w:pos="8504"/>
      </w:tabs>
    </w:pPr>
  </w:style>
  <w:style w:type="character" w:customStyle="1" w:styleId="PiedepginaCar">
    <w:name w:val="Pie de página Car"/>
    <w:basedOn w:val="Fuentedeprrafopredeter"/>
    <w:link w:val="Piedepgina"/>
    <w:uiPriority w:val="99"/>
    <w:rsid w:val="00453476"/>
    <w:rPr>
      <w:rFonts w:eastAsiaTheme="minorEastAsia"/>
      <w:sz w:val="24"/>
      <w:szCs w:val="24"/>
      <w:lang w:val="es-ES_tradnl" w:eastAsia="es-ES"/>
    </w:rPr>
  </w:style>
  <w:style w:type="table" w:styleId="Tablaconcuadrcula">
    <w:name w:val="Table Grid"/>
    <w:basedOn w:val="Tablanormal"/>
    <w:uiPriority w:val="59"/>
    <w:rsid w:val="0045347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8718B"/>
    <w:rPr>
      <w:sz w:val="20"/>
      <w:szCs w:val="20"/>
    </w:rPr>
  </w:style>
  <w:style w:type="character" w:customStyle="1" w:styleId="TextonotapieCar">
    <w:name w:val="Texto nota pie Car"/>
    <w:basedOn w:val="Fuentedeprrafopredeter"/>
    <w:link w:val="Textonotapie"/>
    <w:uiPriority w:val="99"/>
    <w:semiHidden/>
    <w:rsid w:val="0028718B"/>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28718B"/>
    <w:rPr>
      <w:vertAlign w:val="superscript"/>
    </w:rPr>
  </w:style>
  <w:style w:type="paragraph" w:styleId="Textodeglobo">
    <w:name w:val="Balloon Text"/>
    <w:basedOn w:val="Normal"/>
    <w:link w:val="TextodegloboCar"/>
    <w:uiPriority w:val="99"/>
    <w:semiHidden/>
    <w:unhideWhenUsed/>
    <w:rsid w:val="002A79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79DD"/>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1449</Words>
  <Characters>7974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2019-06-10T23:18:00Z</cp:lastPrinted>
  <dcterms:created xsi:type="dcterms:W3CDTF">2019-09-06T18:46:00Z</dcterms:created>
  <dcterms:modified xsi:type="dcterms:W3CDTF">2019-09-06T18:46:00Z</dcterms:modified>
</cp:coreProperties>
</file>